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0EBA" w14:textId="5FBFCA78" w:rsidR="00BB4467" w:rsidRPr="006D4871" w:rsidRDefault="00BB4467" w:rsidP="00BB44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48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C7616" wp14:editId="065B113F">
            <wp:simplePos x="0" y="0"/>
            <wp:positionH relativeFrom="column">
              <wp:posOffset>4829175</wp:posOffset>
            </wp:positionH>
            <wp:positionV relativeFrom="paragraph">
              <wp:posOffset>-182880</wp:posOffset>
            </wp:positionV>
            <wp:extent cx="1371600" cy="763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6C6CB" w14:textId="77777777" w:rsidR="00BB4467" w:rsidRPr="006D4871" w:rsidRDefault="00BB4467" w:rsidP="00BB4467">
      <w:pPr>
        <w:overflowPunct w:val="0"/>
        <w:autoSpaceDE w:val="0"/>
        <w:autoSpaceDN w:val="0"/>
        <w:adjustRightInd w:val="0"/>
        <w:spacing w:after="0" w:line="240" w:lineRule="auto"/>
        <w:ind w:left="708" w:right="11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D48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УКРАЇНА</w:t>
      </w:r>
    </w:p>
    <w:p w14:paraId="4C352FB0" w14:textId="77777777" w:rsidR="00BB4467" w:rsidRPr="006D4871" w:rsidRDefault="00BB4467" w:rsidP="00BB4467">
      <w:pPr>
        <w:overflowPunct w:val="0"/>
        <w:autoSpaceDE w:val="0"/>
        <w:autoSpaceDN w:val="0"/>
        <w:adjustRightInd w:val="0"/>
        <w:spacing w:after="0" w:line="240" w:lineRule="auto"/>
        <w:ind w:left="708" w:right="11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D48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ПрАТ «ЗВЕНИГОРОДСЬКИЙ СИРОРОБНИЙ КОМБІНАТ»</w:t>
      </w:r>
    </w:p>
    <w:p w14:paraId="2F7359E4" w14:textId="77777777" w:rsidR="00BB4467" w:rsidRPr="006D4871" w:rsidRDefault="00BB4467" w:rsidP="00BB4467">
      <w:pPr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74C4954" w14:textId="603F28EB" w:rsidR="00BB4467" w:rsidRPr="006D4871" w:rsidRDefault="00BB4467" w:rsidP="00BB4467">
      <w:pPr>
        <w:overflowPunct w:val="0"/>
        <w:autoSpaceDE w:val="0"/>
        <w:autoSpaceDN w:val="0"/>
        <w:adjustRightInd w:val="0"/>
        <w:spacing w:after="0" w:line="240" w:lineRule="auto"/>
        <w:ind w:left="-360" w:right="119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6D4871">
        <w:rPr>
          <w:rFonts w:ascii="Times New Roman" w:eastAsia="Times New Roman" w:hAnsi="Times New Roman" w:cs="Times New Roman"/>
          <w:sz w:val="18"/>
          <w:szCs w:val="20"/>
          <w:lang w:val="ru-RU"/>
        </w:rPr>
        <w:t>2020</w:t>
      </w:r>
      <w:r w:rsidR="006D4871">
        <w:rPr>
          <w:rFonts w:ascii="Times New Roman" w:eastAsia="Times New Roman" w:hAnsi="Times New Roman" w:cs="Times New Roman"/>
          <w:sz w:val="18"/>
          <w:szCs w:val="20"/>
          <w:lang w:val="ru-RU"/>
        </w:rPr>
        <w:t>2</w:t>
      </w:r>
      <w:r w:rsidRPr="006D4871">
        <w:rPr>
          <w:rFonts w:ascii="Times New Roman" w:eastAsia="Times New Roman" w:hAnsi="Times New Roman" w:cs="Times New Roman"/>
          <w:sz w:val="18"/>
          <w:szCs w:val="20"/>
          <w:lang w:val="ru-RU"/>
        </w:rPr>
        <w:t>, м. Звенигородка, Черкаська область, вул. Козачанська, 35-а.</w:t>
      </w:r>
    </w:p>
    <w:p w14:paraId="44A622FC" w14:textId="77777777" w:rsidR="00BB4467" w:rsidRPr="006D4871" w:rsidRDefault="00BB4467" w:rsidP="00BB4467">
      <w:pPr>
        <w:overflowPunct w:val="0"/>
        <w:autoSpaceDE w:val="0"/>
        <w:autoSpaceDN w:val="0"/>
        <w:adjustRightInd w:val="0"/>
        <w:spacing w:after="0" w:line="240" w:lineRule="auto"/>
        <w:ind w:left="-360" w:right="119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6D4871">
        <w:rPr>
          <w:rFonts w:ascii="Times New Roman" w:eastAsia="Times New Roman" w:hAnsi="Times New Roman" w:cs="Times New Roman"/>
          <w:sz w:val="18"/>
          <w:szCs w:val="20"/>
          <w:lang w:val="ru-RU"/>
        </w:rPr>
        <w:t>тел. (04740) 2-28-23, тел./факс (04740) 2-50-08 – Приймальна, (04740) 2-50-43 – Відділ продаж</w:t>
      </w:r>
    </w:p>
    <w:p w14:paraId="349906F9" w14:textId="77777777" w:rsidR="00BB4467" w:rsidRPr="006D4871" w:rsidRDefault="00BB4467" w:rsidP="00BB4467">
      <w:pPr>
        <w:overflowPunct w:val="0"/>
        <w:autoSpaceDE w:val="0"/>
        <w:autoSpaceDN w:val="0"/>
        <w:adjustRightInd w:val="0"/>
        <w:spacing w:after="0" w:line="240" w:lineRule="auto"/>
        <w:ind w:left="-360" w:right="119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6D4871">
        <w:rPr>
          <w:rFonts w:ascii="Times New Roman" w:eastAsia="Times New Roman" w:hAnsi="Times New Roman" w:cs="Times New Roman"/>
          <w:noProof/>
          <w:sz w:val="18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5D0C" wp14:editId="254B9A49">
                <wp:simplePos x="0" y="0"/>
                <wp:positionH relativeFrom="column">
                  <wp:posOffset>-495300</wp:posOffset>
                </wp:positionH>
                <wp:positionV relativeFrom="paragraph">
                  <wp:posOffset>222885</wp:posOffset>
                </wp:positionV>
                <wp:extent cx="6667500" cy="0"/>
                <wp:effectExtent l="14605" t="15240" r="1397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27D3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17.55pt" to="48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1QEwIAACk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" strokeweight="1.25pt"/>
            </w:pict>
          </mc:Fallback>
        </mc:AlternateContent>
      </w:r>
      <w:r w:rsidRPr="006D4871">
        <w:rPr>
          <w:rFonts w:ascii="Times New Roman" w:eastAsia="Times New Roman" w:hAnsi="Times New Roman" w:cs="Times New Roman"/>
          <w:sz w:val="18"/>
          <w:szCs w:val="20"/>
          <w:lang w:val="ru-RU"/>
        </w:rPr>
        <w:t>Розрахунковий рахунок № 26003593567 , АТ «Райффайзен Банк «Аваль», код ОКПО 00447818</w:t>
      </w:r>
    </w:p>
    <w:p w14:paraId="6DAD47BC" w14:textId="77777777" w:rsidR="00BB4467" w:rsidRDefault="00BB4467" w:rsidP="00BB4467">
      <w:pPr>
        <w:tabs>
          <w:tab w:val="left" w:pos="2520"/>
        </w:tabs>
        <w:rPr>
          <w:color w:val="000000"/>
          <w:sz w:val="28"/>
          <w:szCs w:val="28"/>
        </w:rPr>
      </w:pPr>
    </w:p>
    <w:p w14:paraId="2BA5E9DD" w14:textId="77777777" w:rsidR="00BB4467" w:rsidRPr="008F4436" w:rsidRDefault="00BB4467" w:rsidP="00BB4467">
      <w:pPr>
        <w:jc w:val="both"/>
        <w:rPr>
          <w:b/>
          <w:sz w:val="24"/>
          <w:szCs w:val="24"/>
        </w:rPr>
      </w:pPr>
    </w:p>
    <w:p w14:paraId="3BFC24AE" w14:textId="77777777" w:rsidR="00A83618" w:rsidRPr="00297AB6" w:rsidRDefault="00A83618" w:rsidP="00282232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97AB6">
        <w:rPr>
          <w:rFonts w:ascii="Times New Roman" w:hAnsi="Times New Roman"/>
          <w:b/>
          <w:color w:val="000000" w:themeColor="text1"/>
          <w:sz w:val="24"/>
        </w:rPr>
        <w:t>ЗВІТ ПРО УПРАВЛІННЯ</w:t>
      </w:r>
    </w:p>
    <w:p w14:paraId="5317F37D" w14:textId="77777777" w:rsidR="009D5C87" w:rsidRPr="00297AB6" w:rsidRDefault="009D5C87" w:rsidP="00F202E7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58E4D8CD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315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Організаційна структура </w:t>
      </w: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 xml:space="preserve">та </w:t>
      </w:r>
      <w:r w:rsidRPr="001315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опис</w:t>
      </w: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діяльності підприємства:</w:t>
      </w:r>
    </w:p>
    <w:p w14:paraId="5E5E1ADF" w14:textId="77777777" w:rsidR="00F202E7" w:rsidRPr="001315F3" w:rsidRDefault="00F202E7" w:rsidP="00F20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ПрАТ "ЗСК" (далі- </w:t>
      </w:r>
      <w:r w:rsidR="00C41B4E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Товариств</w:t>
      </w:r>
      <w:r w:rsidR="00135952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) розташоване за адресою: Черкаська область,                                             м. Звенигородка, вул. Козачанська, 35а.</w:t>
      </w:r>
    </w:p>
    <w:p w14:paraId="5B39B427" w14:textId="77777777" w:rsidR="00F202E7" w:rsidRPr="001315F3" w:rsidRDefault="00C41B4E" w:rsidP="00F20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Товариств</w:t>
      </w:r>
      <w:r w:rsidR="00135952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202E7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має дочiрнiх пiдприємств та фiлiй.</w:t>
      </w:r>
    </w:p>
    <w:p w14:paraId="4FC11F86" w14:textId="7211BB60" w:rsidR="00F202E7" w:rsidRPr="001315F3" w:rsidRDefault="0006300A" w:rsidP="00F202E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30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B92E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F202E7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 акцій </w:t>
      </w:r>
      <w:r w:rsidR="00C41B4E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Товариств</w:t>
      </w:r>
      <w:r w:rsidR="00135952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202E7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належить </w:t>
      </w:r>
      <w:r w:rsidR="00135952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компанії </w:t>
      </w:r>
      <w:r w:rsidR="00F202E7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«Савенсія Фромаж енд Дейрі Європа», місцезнаходження якої: Ріессек, буд. 42,  </w:t>
      </w:r>
      <w:bookmarkStart w:id="0" w:name="_GoBack"/>
      <w:bookmarkEnd w:id="0"/>
      <w:r w:rsidR="00F202E7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м. Вірофле, Франція,78220. </w:t>
      </w:r>
    </w:p>
    <w:p w14:paraId="3EE32BF9" w14:textId="77777777" w:rsidR="00A84035" w:rsidRPr="001315F3" w:rsidRDefault="00F202E7" w:rsidP="00F202E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«Савенсія Фромаж енд Дейрі Європа» належить «Савенсія Фромаж енд Дейрі СА», компанії, створеній та існуючій за законодавством Франції, місцезнаходження якої: </w:t>
      </w:r>
      <w:r w:rsidR="00A84035" w:rsidRPr="001315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Ріессек, буд. 42,    м. Вірофле, Франція,78220. </w:t>
      </w:r>
    </w:p>
    <w:p w14:paraId="2C1AD68F" w14:textId="77777777" w:rsidR="00A83618" w:rsidRPr="00297AB6" w:rsidRDefault="00A83618" w:rsidP="00F202E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 xml:space="preserve">Основними напрямками діяльності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>, які не змінилися порівняно з минулим роком, є перероблення молока та виробництво сиру та масла.</w:t>
      </w:r>
    </w:p>
    <w:p w14:paraId="1CA60365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>Результати діяльності</w:t>
      </w:r>
    </w:p>
    <w:p w14:paraId="27DCEC32" w14:textId="77777777" w:rsidR="00A83618" w:rsidRPr="00297AB6" w:rsidRDefault="00A83618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>Протягом  201</w:t>
      </w:r>
      <w:r w:rsidR="00B92EC0" w:rsidRPr="00B92EC0">
        <w:rPr>
          <w:rFonts w:ascii="Times New Roman" w:hAnsi="Times New Roman"/>
          <w:color w:val="000000" w:themeColor="text1"/>
          <w:sz w:val="24"/>
        </w:rPr>
        <w:t>9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року,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збільшил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свій чистий дохід від реалізації продукції порівняно з 201</w:t>
      </w:r>
      <w:r w:rsidR="00B92EC0" w:rsidRPr="00B92EC0">
        <w:rPr>
          <w:rFonts w:ascii="Times New Roman" w:hAnsi="Times New Roman"/>
          <w:color w:val="000000" w:themeColor="text1"/>
          <w:sz w:val="24"/>
        </w:rPr>
        <w:t>8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роком  на </w:t>
      </w:r>
      <w:r w:rsidR="00B92EC0" w:rsidRPr="00B92EC0">
        <w:rPr>
          <w:rFonts w:ascii="Times New Roman" w:hAnsi="Times New Roman"/>
          <w:color w:val="000000" w:themeColor="text1"/>
          <w:sz w:val="24"/>
        </w:rPr>
        <w:t>86 812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тис. грн.,</w:t>
      </w:r>
      <w:r w:rsidR="00135952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 наслідок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чого її чистий дохід   склав </w:t>
      </w:r>
      <w:r w:rsidR="00B92EC0" w:rsidRPr="00B92EC0">
        <w:rPr>
          <w:rFonts w:ascii="Times New Roman" w:hAnsi="Times New Roman"/>
          <w:color w:val="000000" w:themeColor="text1"/>
          <w:sz w:val="24"/>
        </w:rPr>
        <w:t>904 654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тис. грн. . Незважаючи на збільшення обороту, валовий та чистий прибуток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зменшився  на  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5 248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тис. грн. Відповідно, чистий прибуток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135952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</w:rPr>
        <w:t>за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9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рік склав 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      </w:t>
      </w:r>
      <w:r w:rsidR="00B92EC0" w:rsidRPr="00B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17</w:t>
      </w:r>
      <w:r w:rsidR="0059565D" w:rsidRPr="00154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 </w:t>
      </w:r>
      <w:r w:rsidR="00B92EC0" w:rsidRPr="00B92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750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тис. грн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..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Зниження прибутковості було наслідком постійних інтенсивних конкурентних умов, що переважають на ринках, на яких працює</w:t>
      </w:r>
      <w:r w:rsidR="00135952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Pr="00297AB6">
        <w:rPr>
          <w:rFonts w:ascii="Times New Roman" w:hAnsi="Times New Roman"/>
          <w:color w:val="000000" w:themeColor="text1"/>
          <w:sz w:val="24"/>
        </w:rPr>
        <w:t>.</w:t>
      </w:r>
    </w:p>
    <w:p w14:paraId="615DFDF9" w14:textId="6D1C7D17" w:rsidR="00A83618" w:rsidRPr="00297AB6" w:rsidRDefault="00A83618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>Протягом 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9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року, надходження основних засобів та незавершених капітальних інвестицій  склали </w:t>
      </w:r>
      <w:r w:rsidR="00780BCB" w:rsidRPr="00780BCB">
        <w:rPr>
          <w:rFonts w:ascii="Times New Roman" w:hAnsi="Times New Roman"/>
          <w:color w:val="000000" w:themeColor="text1"/>
          <w:sz w:val="24"/>
          <w:lang w:val="ru-RU"/>
        </w:rPr>
        <w:t>21 2</w:t>
      </w:r>
      <w:r w:rsidR="005673C5" w:rsidRPr="005673C5">
        <w:rPr>
          <w:rFonts w:ascii="Times New Roman" w:hAnsi="Times New Roman"/>
          <w:color w:val="000000" w:themeColor="text1"/>
          <w:sz w:val="24"/>
          <w:lang w:val="ru-RU"/>
        </w:rPr>
        <w:t>71</w:t>
      </w:r>
      <w:r w:rsidRPr="00780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780BCB">
        <w:rPr>
          <w:rFonts w:ascii="Times New Roman" w:hAnsi="Times New Roman"/>
          <w:color w:val="000000" w:themeColor="text1"/>
          <w:sz w:val="24"/>
        </w:rPr>
        <w:t>тис. грн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., які 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частково фінансувалася за рахунок  позик , а частково -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грошовими коштами, отриманими від операційної діяльності. Станом на 31 грудня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9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року загальні активи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становили</w:t>
      </w:r>
      <w:r w:rsidRPr="00297AB6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461 293</w:t>
      </w:r>
      <w:r w:rsidRPr="00297AB6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</w:rPr>
        <w:t>тис. грн. (</w:t>
      </w:r>
      <w:r w:rsidR="00135952" w:rsidRPr="00297AB6">
        <w:rPr>
          <w:rFonts w:ascii="Times New Roman" w:hAnsi="Times New Roman"/>
          <w:color w:val="000000" w:themeColor="text1"/>
        </w:rPr>
        <w:t xml:space="preserve">31 грудня </w:t>
      </w:r>
      <w:r w:rsidRPr="00297AB6">
        <w:rPr>
          <w:rFonts w:ascii="Times New Roman" w:hAnsi="Times New Roman"/>
          <w:color w:val="000000" w:themeColor="text1"/>
          <w:sz w:val="24"/>
        </w:rPr>
        <w:t>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8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: 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351 381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тис. грн.) і її чисті активи склали  </w:t>
      </w:r>
      <w:r w:rsidR="00780BCB" w:rsidRPr="00780BCB">
        <w:rPr>
          <w:rFonts w:ascii="Times New Roman" w:hAnsi="Times New Roman"/>
          <w:color w:val="000000" w:themeColor="text1"/>
          <w:sz w:val="24"/>
          <w:lang w:val="ru-RU"/>
        </w:rPr>
        <w:t>3</w:t>
      </w:r>
      <w:r w:rsidR="00652AAF" w:rsidRPr="005673C5">
        <w:rPr>
          <w:rFonts w:ascii="Times New Roman" w:hAnsi="Times New Roman"/>
          <w:color w:val="000000" w:themeColor="text1"/>
          <w:sz w:val="24"/>
          <w:lang w:val="ru-RU"/>
        </w:rPr>
        <w:t>4</w:t>
      </w:r>
      <w:r w:rsidR="00780BCB" w:rsidRPr="00780BCB">
        <w:rPr>
          <w:rFonts w:ascii="Times New Roman" w:hAnsi="Times New Roman"/>
          <w:color w:val="000000" w:themeColor="text1"/>
          <w:sz w:val="24"/>
          <w:lang w:val="ru-RU"/>
        </w:rPr>
        <w:t>8 744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тис. грн (</w:t>
      </w:r>
      <w:r w:rsidR="00135952" w:rsidRPr="00297AB6">
        <w:rPr>
          <w:rFonts w:ascii="Times New Roman" w:hAnsi="Times New Roman"/>
          <w:color w:val="000000" w:themeColor="text1"/>
        </w:rPr>
        <w:t xml:space="preserve">31 грудня 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</w:rPr>
        <w:t>201</w:t>
      </w:r>
      <w:r w:rsidR="00780BCB" w:rsidRPr="00780BCB">
        <w:rPr>
          <w:rFonts w:ascii="Times New Roman" w:hAnsi="Times New Roman"/>
          <w:color w:val="000000" w:themeColor="text1"/>
          <w:sz w:val="24"/>
          <w:lang w:val="ru-RU"/>
        </w:rPr>
        <w:t>8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: </w:t>
      </w:r>
      <w:r w:rsidR="00780BCB" w:rsidRPr="00780BCB">
        <w:rPr>
          <w:rFonts w:ascii="Times New Roman" w:hAnsi="Times New Roman"/>
          <w:color w:val="000000" w:themeColor="text1"/>
          <w:sz w:val="24"/>
          <w:lang w:val="ru-RU"/>
        </w:rPr>
        <w:t>262 976</w:t>
      </w:r>
      <w:r w:rsidRPr="00780BCB">
        <w:rPr>
          <w:rFonts w:ascii="Times New Roman" w:hAnsi="Times New Roman"/>
          <w:color w:val="000000" w:themeColor="text1"/>
          <w:sz w:val="24"/>
        </w:rPr>
        <w:t xml:space="preserve"> тис.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грн). Фінансове становище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розвиток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та результати </w:t>
      </w:r>
      <w:r w:rsidR="00A9148F" w:rsidRPr="00297AB6">
        <w:rPr>
          <w:rFonts w:ascii="Times New Roman" w:hAnsi="Times New Roman"/>
          <w:color w:val="000000" w:themeColor="text1"/>
          <w:sz w:val="24"/>
        </w:rPr>
        <w:t>діяльності</w:t>
      </w:r>
      <w:r w:rsidR="00135952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135952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A9148F" w:rsidRPr="00297AB6">
        <w:rPr>
          <w:rFonts w:ascii="Times New Roman" w:hAnsi="Times New Roman"/>
          <w:color w:val="000000" w:themeColor="text1"/>
          <w:sz w:val="24"/>
        </w:rPr>
        <w:t>, представлені у цій фінансовій звітності, вважаються задовільними.</w:t>
      </w:r>
    </w:p>
    <w:p w14:paraId="6DE5220E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>Ліквідність та зобов’язання</w:t>
      </w:r>
    </w:p>
    <w:p w14:paraId="0A5862CF" w14:textId="77777777" w:rsidR="00A83618" w:rsidRPr="00297AB6" w:rsidRDefault="00847F8B" w:rsidP="00F202E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 xml:space="preserve">Управління поточною ліквідністю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здійснюється шляхо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м 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</w:rPr>
        <w:t>контролю сум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</w:rPr>
        <w:t>дебіторської та кредиторської заборгованості і витрат на програми капітальних інвестицій. Зобов</w:t>
      </w:r>
      <w:r w:rsidRPr="00297AB6">
        <w:rPr>
          <w:rFonts w:ascii="Times New Roman" w:hAnsi="Times New Roman"/>
          <w:color w:val="000000" w:themeColor="text1"/>
          <w:sz w:val="24"/>
          <w:lang w:val="ru-RU"/>
        </w:rPr>
        <w:t>’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язання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за  кредиторською заборгованістю</w:t>
      </w:r>
      <w:r w:rsidR="00135952" w:rsidRPr="00297AB6">
        <w:rPr>
          <w:rFonts w:ascii="Times New Roman" w:hAnsi="Times New Roman"/>
          <w:color w:val="000000" w:themeColor="text1"/>
          <w:sz w:val="24"/>
        </w:rPr>
        <w:t xml:space="preserve"> за товари, роботи та послуги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</w:rPr>
        <w:lastRenderedPageBreak/>
        <w:t>станом  на 31 грудня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9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складають 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80 469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 грн. за аналогічний період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8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року 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66 060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тис грн. 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Основні джерела забезпечення ліквідності – це </w:t>
      </w:r>
      <w:r w:rsidR="00C8278A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78A" w:rsidRPr="00297AB6">
        <w:rPr>
          <w:rFonts w:ascii="Times New Roman" w:hAnsi="Times New Roman"/>
          <w:color w:val="000000" w:themeColor="text1"/>
          <w:sz w:val="24"/>
        </w:rPr>
        <w:t>запаси вартість яких станом на 31 грудня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9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року складає 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116 893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тис. грн; дебіторська заборгованість за продукцію станом  на 31 грудня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9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року </w:t>
      </w:r>
      <w:r w:rsidR="00780BCB" w:rsidRPr="00780BCB">
        <w:rPr>
          <w:rFonts w:ascii="Times New Roman" w:hAnsi="Times New Roman"/>
          <w:color w:val="000000" w:themeColor="text1"/>
          <w:sz w:val="24"/>
          <w:lang w:val="ru-RU"/>
        </w:rPr>
        <w:t>142 739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тис. грн; гроші та їх еквіваленти станом на 31 грудня 201</w:t>
      </w:r>
      <w:r w:rsidR="00B92EC0" w:rsidRPr="00B92EC0">
        <w:rPr>
          <w:rFonts w:ascii="Times New Roman" w:hAnsi="Times New Roman"/>
          <w:color w:val="000000" w:themeColor="text1"/>
          <w:sz w:val="24"/>
          <w:lang w:val="ru-RU"/>
        </w:rPr>
        <w:t>9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року </w:t>
      </w:r>
      <w:r w:rsidR="00154B52" w:rsidRPr="00154B52">
        <w:rPr>
          <w:rFonts w:ascii="Times New Roman" w:hAnsi="Times New Roman"/>
          <w:color w:val="000000" w:themeColor="text1"/>
          <w:sz w:val="24"/>
          <w:lang w:val="ru-RU"/>
        </w:rPr>
        <w:t>84 02</w:t>
      </w:r>
      <w:r w:rsidR="00154B52" w:rsidRPr="00652AAF">
        <w:rPr>
          <w:rFonts w:ascii="Times New Roman" w:hAnsi="Times New Roman"/>
          <w:color w:val="000000" w:themeColor="text1"/>
          <w:sz w:val="24"/>
          <w:lang w:val="ru-RU"/>
        </w:rPr>
        <w:t>4</w:t>
      </w:r>
      <w:r w:rsidR="00C8278A" w:rsidRPr="00297AB6">
        <w:rPr>
          <w:rFonts w:ascii="Times New Roman" w:hAnsi="Times New Roman"/>
          <w:color w:val="000000" w:themeColor="text1"/>
          <w:sz w:val="24"/>
        </w:rPr>
        <w:t xml:space="preserve"> тис. грн.</w:t>
      </w:r>
    </w:p>
    <w:p w14:paraId="7BD34C14" w14:textId="30C1A14B" w:rsidR="005E6B68" w:rsidRPr="001315F3" w:rsidRDefault="005E6B68" w:rsidP="00F202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Коефіцієнт абсолютної ліквідності обчислюється як відношення  грошових засобів та їхніх еквівалентів і поточних фінансових інвестицій до поточних зобов’язань та показує, яка частина боргів підприємства може бути сплачена негайно. Станом  на 31.12.201</w:t>
      </w:r>
      <w:r w:rsidR="000A0C36" w:rsidRPr="0059565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0,</w:t>
      </w:r>
      <w:r w:rsidR="000A0C36" w:rsidRPr="0059565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40D3" w:rsidRPr="00DF44D2">
        <w:rPr>
          <w:rFonts w:ascii="Times New Roman" w:hAnsi="Times New Roman" w:cs="Times New Roman"/>
          <w:color w:val="000000" w:themeColor="text1"/>
          <w:sz w:val="24"/>
          <w:szCs w:val="24"/>
        </w:rPr>
        <w:t>734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відповідає нормативному значенню даного показника.</w:t>
      </w:r>
    </w:p>
    <w:p w14:paraId="741A93E6" w14:textId="5D41DF3F" w:rsidR="005E6B68" w:rsidRPr="001315F3" w:rsidRDefault="005E6B68" w:rsidP="00F202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Коефіцієнт  загальної ліквідності ( покриття) розраховується як відношення оборотних </w:t>
      </w:r>
      <w:r w:rsidR="00F3493A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активів до поточних зобов’язань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F3493A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показує достатність ресурсів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F3493A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, які можуть бути використані для погашення його поточних зобов’язань. Станом  на 31.12.201</w:t>
      </w:r>
      <w:r w:rsidR="000A0C36" w:rsidRPr="005956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F3493A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коефіцієнт дорівнює </w:t>
      </w:r>
      <w:r w:rsidR="000A0C36" w:rsidRPr="005956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DF44D2" w:rsidRPr="00BB44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0A0C36" w:rsidRPr="005956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="00B340D3" w:rsidRPr="00DF4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="000A0C36" w:rsidRPr="005956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F3493A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, що відповідає нормативному значенню.</w:t>
      </w:r>
    </w:p>
    <w:p w14:paraId="3AA8C97A" w14:textId="77777777" w:rsidR="00A83618" w:rsidRPr="001315F3" w:rsidRDefault="00A83618" w:rsidP="00F202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462EF3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>Екологічні аспекти</w:t>
      </w:r>
    </w:p>
    <w:p w14:paraId="3784141E" w14:textId="77777777" w:rsidR="0055084E" w:rsidRPr="001315F3" w:rsidRDefault="0055084E" w:rsidP="0055084E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Зважаючи на те, що </w:t>
      </w:r>
      <w:r w:rsidR="00C41B4E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Товариств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1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належить до середніх підприємств</w:t>
      </w:r>
      <w:r w:rsidR="0047154F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дане питання не розкривається.</w:t>
      </w:r>
    </w:p>
    <w:p w14:paraId="610495D8" w14:textId="77777777" w:rsidR="00A83618" w:rsidRPr="001315F3" w:rsidRDefault="00A83618" w:rsidP="00F202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F55C3C" w14:textId="77777777" w:rsidR="001069B4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 xml:space="preserve">Соціальні аспекти та кадрова </w:t>
      </w:r>
      <w:r w:rsidR="001069B4" w:rsidRPr="00297AB6">
        <w:rPr>
          <w:rFonts w:ascii="Times New Roman" w:hAnsi="Times New Roman"/>
          <w:b/>
          <w:color w:val="000000" w:themeColor="text1"/>
          <w:sz w:val="24"/>
          <w:u w:val="single"/>
        </w:rPr>
        <w:t>політика</w:t>
      </w:r>
      <w:r w:rsidR="001069B4" w:rsidRPr="00297AB6">
        <w:rPr>
          <w:rFonts w:ascii="Times New Roman" w:hAnsi="Times New Roman"/>
          <w:b/>
          <w:color w:val="000000" w:themeColor="text1"/>
          <w:sz w:val="24"/>
        </w:rPr>
        <w:t xml:space="preserve">   </w:t>
      </w:r>
    </w:p>
    <w:p w14:paraId="6AE01853" w14:textId="77777777" w:rsidR="0047154F" w:rsidRPr="001315F3" w:rsidRDefault="0047154F" w:rsidP="0047154F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Зважаючи на те, що </w:t>
      </w:r>
      <w:r w:rsidR="00C41B4E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Товариств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1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належить до середніх підприємств дане питання не розкривається.</w:t>
      </w:r>
    </w:p>
    <w:p w14:paraId="321220A3" w14:textId="77777777" w:rsidR="001069B4" w:rsidRPr="001315F3" w:rsidRDefault="001069B4" w:rsidP="00F202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7AEA0C" w14:textId="77777777" w:rsidR="00A83618" w:rsidRPr="00297AB6" w:rsidRDefault="001069B4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83618" w:rsidRPr="00297AB6">
        <w:rPr>
          <w:rFonts w:ascii="Times New Roman" w:hAnsi="Times New Roman"/>
          <w:b/>
          <w:color w:val="000000" w:themeColor="text1"/>
          <w:sz w:val="24"/>
          <w:u w:val="single"/>
        </w:rPr>
        <w:t>Ризики</w:t>
      </w:r>
    </w:p>
    <w:p w14:paraId="1271D096" w14:textId="77777777" w:rsidR="001069B4" w:rsidRPr="00297AB6" w:rsidRDefault="00DC038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У своїй д</w:t>
      </w:r>
      <w:r w:rsidR="001069B4" w:rsidRPr="00297AB6">
        <w:rPr>
          <w:rFonts w:ascii="Times New Roman" w:hAnsi="Times New Roman"/>
          <w:color w:val="000000" w:themeColor="text1"/>
          <w:sz w:val="24"/>
        </w:rPr>
        <w:t>іяльн</w:t>
      </w:r>
      <w:r>
        <w:rPr>
          <w:rFonts w:ascii="Times New Roman" w:hAnsi="Times New Roman"/>
          <w:color w:val="000000" w:themeColor="text1"/>
          <w:sz w:val="24"/>
        </w:rPr>
        <w:t>ості</w:t>
      </w:r>
      <w:r w:rsidR="001069B4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наражається на 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різноманітн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фінансов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1069B4" w:rsidRPr="00297AB6">
        <w:rPr>
          <w:rFonts w:ascii="Times New Roman" w:hAnsi="Times New Roman"/>
          <w:color w:val="000000" w:themeColor="text1"/>
          <w:sz w:val="24"/>
        </w:rPr>
        <w:t xml:space="preserve"> ризик</w:t>
      </w:r>
      <w:r>
        <w:rPr>
          <w:rFonts w:ascii="Times New Roman" w:hAnsi="Times New Roman"/>
          <w:color w:val="000000" w:themeColor="text1"/>
          <w:sz w:val="24"/>
        </w:rPr>
        <w:t>и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операційн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юридичн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ризик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1069B4" w:rsidRPr="00297AB6">
        <w:rPr>
          <w:rFonts w:ascii="Times New Roman" w:hAnsi="Times New Roman"/>
          <w:color w:val="000000" w:themeColor="text1"/>
          <w:sz w:val="24"/>
        </w:rPr>
        <w:t xml:space="preserve"> Фінансові ризики складаються з ринкового ризику (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069B4" w:rsidRPr="00297AB6">
        <w:rPr>
          <w:rFonts w:ascii="Times New Roman" w:hAnsi="Times New Roman"/>
          <w:color w:val="000000" w:themeColor="text1"/>
          <w:sz w:val="24"/>
        </w:rPr>
        <w:t>який включає валютний ризик, ризик процентної ставки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справедливою вартістю, ризик процентної ставки грошових потоків та ціновий ризик</w:t>
      </w:r>
      <w:r w:rsidR="001069B4" w:rsidRPr="00297AB6">
        <w:rPr>
          <w:rFonts w:ascii="Times New Roman" w:hAnsi="Times New Roman"/>
          <w:color w:val="000000" w:themeColor="text1"/>
          <w:sz w:val="24"/>
        </w:rPr>
        <w:t>), кредитний ризик та ризик ліквідності.</w:t>
      </w:r>
    </w:p>
    <w:p w14:paraId="335BD8A5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 xml:space="preserve">Програма управління ризиками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спрямована на непередбачуваність фінансових ринків і спрямована на мінімізацію можливого негативного впливу на фінансові показники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>. Правління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надає письмові рішення для загального управління ризиками, а також письмову політику, що охоплює певні сфери, такі як валютний ризик, процентний ризик, кредитний ризик, використання похідних фінансових інструментів.</w:t>
      </w:r>
    </w:p>
    <w:p w14:paraId="6592F6B9" w14:textId="77777777" w:rsidR="001069B4" w:rsidRPr="00297AB6" w:rsidRDefault="001069B4" w:rsidP="00297AB6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52100DAB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</w:rPr>
      </w:pPr>
      <w:r w:rsidRPr="00297AB6">
        <w:rPr>
          <w:rFonts w:ascii="Times New Roman" w:hAnsi="Times New Roman"/>
          <w:b/>
          <w:i/>
          <w:color w:val="000000" w:themeColor="text1"/>
          <w:sz w:val="24"/>
        </w:rPr>
        <w:t>Валютний ризик</w:t>
      </w:r>
    </w:p>
    <w:p w14:paraId="4CE939A1" w14:textId="77777777" w:rsidR="001069B4" w:rsidRPr="00297AB6" w:rsidRDefault="00C41B4E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1069B4" w:rsidRPr="00297AB6">
        <w:rPr>
          <w:rFonts w:ascii="Times New Roman" w:hAnsi="Times New Roman"/>
          <w:color w:val="000000" w:themeColor="text1"/>
          <w:sz w:val="24"/>
        </w:rPr>
        <w:t xml:space="preserve"> на кінець 201</w:t>
      </w:r>
      <w:r w:rsidR="00B92EC0" w:rsidRPr="00B92EC0">
        <w:rPr>
          <w:rFonts w:ascii="Times New Roman" w:hAnsi="Times New Roman"/>
          <w:color w:val="000000" w:themeColor="text1"/>
          <w:sz w:val="24"/>
        </w:rPr>
        <w:t>9</w:t>
      </w:r>
      <w:r w:rsidR="001069B4" w:rsidRPr="00297AB6">
        <w:rPr>
          <w:rFonts w:ascii="Times New Roman" w:hAnsi="Times New Roman"/>
          <w:color w:val="000000" w:themeColor="text1"/>
          <w:sz w:val="24"/>
        </w:rPr>
        <w:t xml:space="preserve"> року має монетарні фінансові зобов</w:t>
      </w:r>
      <w:r w:rsidR="00F3493A" w:rsidRPr="00297AB6">
        <w:rPr>
          <w:rFonts w:ascii="Times New Roman" w:hAnsi="Times New Roman"/>
          <w:color w:val="000000" w:themeColor="text1"/>
          <w:sz w:val="24"/>
        </w:rPr>
        <w:t xml:space="preserve">’язання </w:t>
      </w:r>
      <w:r w:rsidR="000A0C36" w:rsidRPr="000A0C36">
        <w:rPr>
          <w:rFonts w:ascii="Times New Roman" w:hAnsi="Times New Roman"/>
          <w:color w:val="000000" w:themeColor="text1"/>
          <w:sz w:val="24"/>
        </w:rPr>
        <w:t>17 78</w:t>
      </w:r>
      <w:r w:rsidR="000A0C36" w:rsidRPr="00B26D8A">
        <w:rPr>
          <w:rFonts w:ascii="Times New Roman" w:hAnsi="Times New Roman"/>
          <w:color w:val="000000" w:themeColor="text1"/>
          <w:sz w:val="24"/>
        </w:rPr>
        <w:t>1</w:t>
      </w:r>
      <w:r w:rsidR="00F3493A" w:rsidRPr="00297AB6">
        <w:rPr>
          <w:rFonts w:ascii="Times New Roman" w:hAnsi="Times New Roman"/>
          <w:color w:val="000000" w:themeColor="text1"/>
          <w:sz w:val="24"/>
        </w:rPr>
        <w:t xml:space="preserve"> тис.</w:t>
      </w:r>
      <w:r w:rsidR="001315F3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грн.</w:t>
      </w:r>
      <w:r w:rsidR="001069B4" w:rsidRPr="00297AB6">
        <w:rPr>
          <w:rFonts w:ascii="Times New Roman" w:hAnsi="Times New Roman"/>
          <w:color w:val="000000" w:themeColor="text1"/>
          <w:sz w:val="24"/>
        </w:rPr>
        <w:t xml:space="preserve"> Керівництво</w:t>
      </w:r>
      <w:r w:rsidR="0047154F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069B4" w:rsidRPr="00297AB6">
        <w:rPr>
          <w:rFonts w:ascii="Times New Roman" w:hAnsi="Times New Roman"/>
          <w:color w:val="000000" w:themeColor="text1"/>
          <w:sz w:val="24"/>
        </w:rPr>
        <w:t>здійснює постійний моніторинг коливань валютних курсів і діє відповідно.</w:t>
      </w:r>
    </w:p>
    <w:p w14:paraId="2A54AD88" w14:textId="77777777" w:rsidR="0047154F" w:rsidRPr="001315F3" w:rsidRDefault="0047154F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0D91FE4B" w14:textId="77777777" w:rsidR="001069B4" w:rsidRPr="001315F3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1315F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Ціновий ризик</w:t>
      </w:r>
    </w:p>
    <w:p w14:paraId="34D54C74" w14:textId="77777777" w:rsidR="001069B4" w:rsidRPr="001315F3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75E2C35F" w14:textId="77777777" w:rsidR="001069B4" w:rsidRPr="001315F3" w:rsidRDefault="00C41B4E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C0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наражається на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цінов</w:t>
      </w:r>
      <w:r w:rsidR="00DC0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ий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ризик, як</w:t>
      </w:r>
      <w:r w:rsidR="00DC0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ий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великою мірою залежать від загальних та  конкретних ринкових змін. Керівництво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встановлює ліміти сум ризику, що може бути прийнятий 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ом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та щоденно контролює їх дотримання.</w:t>
      </w:r>
    </w:p>
    <w:p w14:paraId="176E0D6C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7405B016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</w:rPr>
      </w:pPr>
      <w:r w:rsidRPr="00297AB6">
        <w:rPr>
          <w:rFonts w:ascii="Times New Roman" w:hAnsi="Times New Roman"/>
          <w:b/>
          <w:i/>
          <w:color w:val="000000" w:themeColor="text1"/>
          <w:sz w:val="24"/>
        </w:rPr>
        <w:t>Ризик процентної ставки</w:t>
      </w:r>
      <w:r w:rsidRPr="001315F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грошових потоків</w:t>
      </w:r>
    </w:p>
    <w:p w14:paraId="1941439D" w14:textId="77777777" w:rsidR="001069B4" w:rsidRPr="001315F3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77CBAF2E" w14:textId="77777777" w:rsidR="001069B4" w:rsidRPr="00297AB6" w:rsidRDefault="00C41B4E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943E3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використовує виключно короткострокові овердрафти, </w:t>
      </w:r>
      <w:r w:rsidR="0038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зміни процентних ставок за якими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</w:t>
      </w:r>
      <w:r w:rsidR="00F943E3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ють</w:t>
      </w:r>
      <w:r w:rsidR="001069B4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943E3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</w:t>
      </w:r>
      <w:r w:rsidR="001069B4" w:rsidRPr="00297AB6">
        <w:rPr>
          <w:rFonts w:ascii="Times New Roman" w:hAnsi="Times New Roman"/>
          <w:color w:val="000000" w:themeColor="text1"/>
          <w:sz w:val="24"/>
        </w:rPr>
        <w:t xml:space="preserve"> суттєвий вплив на прибуток.</w:t>
      </w:r>
    </w:p>
    <w:p w14:paraId="5C0C6D0C" w14:textId="77777777" w:rsidR="001069B4" w:rsidRPr="00297AB6" w:rsidRDefault="001069B4" w:rsidP="00F202E7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63C05094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</w:rPr>
      </w:pPr>
      <w:r w:rsidRPr="00297AB6">
        <w:rPr>
          <w:rFonts w:ascii="Times New Roman" w:hAnsi="Times New Roman"/>
          <w:b/>
          <w:i/>
          <w:color w:val="000000" w:themeColor="text1"/>
          <w:sz w:val="24"/>
        </w:rPr>
        <w:t>Кредитний ризик</w:t>
      </w:r>
    </w:p>
    <w:p w14:paraId="63E03B32" w14:textId="77777777" w:rsidR="001069B4" w:rsidRPr="001315F3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2C4BC98D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 xml:space="preserve">Кредитний ризик- це найбільш суттєвий ризик для бізнесу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>, отже, керівництво приділяє особливу увагу управлінню кредитним ризиком.</w:t>
      </w:r>
    </w:p>
    <w:p w14:paraId="727FFEA3" w14:textId="77777777" w:rsidR="001069B4" w:rsidRPr="001315F3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Оцінювання кредитного ризику для управління ризиками – це складний процес, який потребує використання моделей, оскільки ризик змінюється залежно від ринкових умов, очікуваних грошових потоків і з плином часу.</w:t>
      </w:r>
    </w:p>
    <w:p w14:paraId="335899F1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 xml:space="preserve">Для оцінки кредитного ризику та класифікації фінансових інструментів за сумою кредитного ризику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використовує два підходи: внутрішня система рейтингів на основі ризиків або оцінка категорій ризику зовнішніми міжнародними рейтинговими 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агент</w:t>
      </w:r>
      <w:r w:rsidR="0038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ствами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 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Standart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&amp;</w:t>
      </w:r>
      <w:r w:rsidRPr="00297AB6">
        <w:rPr>
          <w:rFonts w:ascii="Times New Roman" w:hAnsi="Times New Roman"/>
          <w:color w:val="000000" w:themeColor="text1"/>
          <w:sz w:val="24"/>
          <w:lang w:val="en-US"/>
        </w:rPr>
        <w:t>Poor</w:t>
      </w:r>
      <w:r w:rsidRPr="00297AB6">
        <w:rPr>
          <w:rFonts w:ascii="Times New Roman" w:hAnsi="Times New Roman"/>
          <w:color w:val="000000" w:themeColor="text1"/>
          <w:sz w:val="24"/>
        </w:rPr>
        <w:t>’</w:t>
      </w:r>
      <w:r w:rsidRPr="00297AB6">
        <w:rPr>
          <w:rFonts w:ascii="Times New Roman" w:hAnsi="Times New Roman"/>
          <w:color w:val="000000" w:themeColor="text1"/>
          <w:sz w:val="24"/>
          <w:lang w:val="en-US"/>
        </w:rPr>
        <w:t>s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  <w:lang w:val="en-US"/>
        </w:rPr>
        <w:t>Fitch</w:t>
      </w:r>
      <w:r w:rsidRPr="00297AB6">
        <w:rPr>
          <w:rFonts w:ascii="Times New Roman" w:hAnsi="Times New Roman"/>
          <w:color w:val="000000" w:themeColor="text1"/>
          <w:sz w:val="24"/>
        </w:rPr>
        <w:t>,</w:t>
      </w:r>
      <w:r w:rsidRPr="00297AB6">
        <w:rPr>
          <w:rFonts w:ascii="Times New Roman" w:hAnsi="Times New Roman"/>
          <w:color w:val="000000" w:themeColor="text1"/>
          <w:sz w:val="24"/>
          <w:lang w:val="en-US"/>
        </w:rPr>
        <w:t>Moody</w:t>
      </w:r>
      <w:r w:rsidRPr="00297AB6">
        <w:rPr>
          <w:rFonts w:ascii="Times New Roman" w:hAnsi="Times New Roman"/>
          <w:color w:val="000000" w:themeColor="text1"/>
          <w:sz w:val="24"/>
        </w:rPr>
        <w:t>’</w:t>
      </w:r>
      <w:r w:rsidRPr="00297AB6">
        <w:rPr>
          <w:rFonts w:ascii="Times New Roman" w:hAnsi="Times New Roman"/>
          <w:color w:val="000000" w:themeColor="text1"/>
          <w:sz w:val="24"/>
          <w:lang w:val="en-US"/>
        </w:rPr>
        <w:t>s</w:t>
      </w:r>
      <w:r w:rsidRPr="00297AB6">
        <w:rPr>
          <w:rFonts w:ascii="Times New Roman" w:hAnsi="Times New Roman"/>
          <w:color w:val="000000" w:themeColor="text1"/>
          <w:sz w:val="24"/>
        </w:rPr>
        <w:t>).</w:t>
      </w:r>
    </w:p>
    <w:p w14:paraId="69168D96" w14:textId="77777777" w:rsidR="001069B4" w:rsidRPr="00297AB6" w:rsidRDefault="001069B4" w:rsidP="00297AB6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2142A7EF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</w:rPr>
      </w:pPr>
      <w:r w:rsidRPr="00297AB6">
        <w:rPr>
          <w:rFonts w:ascii="Times New Roman" w:hAnsi="Times New Roman"/>
          <w:b/>
          <w:i/>
          <w:color w:val="000000" w:themeColor="text1"/>
          <w:sz w:val="24"/>
        </w:rPr>
        <w:t>Ризик ліквідності</w:t>
      </w:r>
    </w:p>
    <w:p w14:paraId="153139A5" w14:textId="77777777" w:rsidR="001069B4" w:rsidRPr="001315F3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C7D1CCD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97AB6">
        <w:rPr>
          <w:rFonts w:ascii="Times New Roman" w:hAnsi="Times New Roman"/>
          <w:color w:val="000000" w:themeColor="text1"/>
          <w:sz w:val="24"/>
        </w:rPr>
        <w:t>Керівництво</w:t>
      </w:r>
      <w:r w:rsidR="0047154F" w:rsidRPr="00297AB6">
        <w:rPr>
          <w:rFonts w:ascii="Times New Roman" w:hAnsi="Times New Roman"/>
          <w:color w:val="000000" w:themeColor="text1"/>
          <w:sz w:val="24"/>
        </w:rPr>
        <w:t xml:space="preserve"> 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здійснює моніторинг поточної ліквідності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на основі очікуваних грошових потоків та очікуваних надходжень доходів. На довгостроковій основі ризик ліквідності визначається на основі очікуваних майбутніх грошових потоків</w:t>
      </w: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момент укладення нових кредитних коштів  на основі передбачених у бюджеті прогнозів.</w:t>
      </w:r>
      <w:r w:rsidRPr="00297AB6">
        <w:rPr>
          <w:rFonts w:ascii="Times New Roman" w:hAnsi="Times New Roman"/>
          <w:color w:val="000000" w:themeColor="text1"/>
          <w:sz w:val="24"/>
        </w:rPr>
        <w:t xml:space="preserve"> Керівництво вважає, що успішно керує ризиком ліквідності </w:t>
      </w:r>
      <w:r w:rsidR="00C41B4E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297AB6">
        <w:rPr>
          <w:rFonts w:ascii="Times New Roman" w:hAnsi="Times New Roman"/>
          <w:color w:val="000000" w:themeColor="text1"/>
          <w:sz w:val="24"/>
        </w:rPr>
        <w:t>.</w:t>
      </w:r>
    </w:p>
    <w:p w14:paraId="06C69E3F" w14:textId="77777777" w:rsidR="001069B4" w:rsidRPr="00297AB6" w:rsidRDefault="001069B4" w:rsidP="00F2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0CB18C17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>Дослідження та інновації</w:t>
      </w:r>
    </w:p>
    <w:p w14:paraId="1258007C" w14:textId="77777777" w:rsidR="0047154F" w:rsidRPr="001315F3" w:rsidRDefault="0047154F" w:rsidP="0047154F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Зважаючи на те, що </w:t>
      </w:r>
      <w:r w:rsidR="00C41B4E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Товариств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1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належить до середніх підприємств дане питання не розкривається.</w:t>
      </w:r>
    </w:p>
    <w:p w14:paraId="55175C61" w14:textId="77777777" w:rsidR="00A83618" w:rsidRPr="001315F3" w:rsidRDefault="00A83618" w:rsidP="00F202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3FCC14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>Фінансові інвестиції</w:t>
      </w:r>
    </w:p>
    <w:p w14:paraId="3685091D" w14:textId="77777777" w:rsidR="00F3493A" w:rsidRPr="001315F3" w:rsidRDefault="00C41B4E" w:rsidP="00F202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Товариств</w:t>
      </w:r>
      <w:r w:rsidR="0047154F" w:rsidRPr="0013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F3493A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має фінансових інвестицій у цінні папери</w:t>
      </w:r>
      <w:r w:rsidR="00B27758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інших підприємств та фінансових інвестицій в асоц</w:t>
      </w:r>
      <w:r w:rsidR="00177B64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ійовані і дочірні підприємства.</w:t>
      </w:r>
    </w:p>
    <w:p w14:paraId="28BB5C1A" w14:textId="77777777" w:rsidR="00F3493A" w:rsidRPr="001315F3" w:rsidRDefault="00F3493A" w:rsidP="00F202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C91E9F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>Перспективи розвитку</w:t>
      </w:r>
    </w:p>
    <w:p w14:paraId="5CA8970C" w14:textId="77777777" w:rsidR="0047154F" w:rsidRPr="001315F3" w:rsidRDefault="0047154F" w:rsidP="0047154F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Зважаючи на те, що </w:t>
      </w:r>
      <w:r w:rsidR="00C41B4E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Товариств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1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належить до середніх підприємств дане питання не розкривається.</w:t>
      </w:r>
    </w:p>
    <w:p w14:paraId="4AB786AB" w14:textId="77777777" w:rsidR="00A83618" w:rsidRPr="001315F3" w:rsidRDefault="00A83618" w:rsidP="00F202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B629C1" w14:textId="77777777" w:rsidR="00A83618" w:rsidRPr="00297AB6" w:rsidRDefault="00A83618" w:rsidP="00F202E7">
      <w:pPr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297AB6">
        <w:rPr>
          <w:rFonts w:ascii="Times New Roman" w:hAnsi="Times New Roman"/>
          <w:b/>
          <w:color w:val="000000" w:themeColor="text1"/>
          <w:sz w:val="24"/>
          <w:u w:val="single"/>
        </w:rPr>
        <w:t>Корпоративне управління</w:t>
      </w:r>
    </w:p>
    <w:p w14:paraId="506CD6EF" w14:textId="77777777" w:rsidR="0047154F" w:rsidRPr="001315F3" w:rsidRDefault="0047154F" w:rsidP="0047154F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Зважаючи на те, що </w:t>
      </w:r>
      <w:r w:rsidR="00C41B4E"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Товариств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1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15F3">
        <w:rPr>
          <w:rFonts w:ascii="Times New Roman" w:hAnsi="Times New Roman" w:cs="Times New Roman"/>
          <w:color w:val="000000" w:themeColor="text1"/>
          <w:sz w:val="24"/>
          <w:szCs w:val="24"/>
        </w:rPr>
        <w:t>належить до середніх підприємств дане питання не розкривається.</w:t>
      </w:r>
    </w:p>
    <w:p w14:paraId="7A7E788B" w14:textId="77777777" w:rsidR="00A83618" w:rsidRPr="00297AB6" w:rsidRDefault="00A83618" w:rsidP="00297AB6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sectPr w:rsidR="00A83618" w:rsidRPr="00297AB6" w:rsidSect="00BB4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B600" w14:textId="77777777" w:rsidR="00A823B4" w:rsidRDefault="00A823B4" w:rsidP="00B36AD8">
      <w:pPr>
        <w:spacing w:after="0" w:line="240" w:lineRule="auto"/>
      </w:pPr>
      <w:r>
        <w:separator/>
      </w:r>
    </w:p>
  </w:endnote>
  <w:endnote w:type="continuationSeparator" w:id="0">
    <w:p w14:paraId="66EEC8F8" w14:textId="77777777" w:rsidR="00A823B4" w:rsidRDefault="00A823B4" w:rsidP="00B36AD8">
      <w:pPr>
        <w:spacing w:after="0" w:line="240" w:lineRule="auto"/>
      </w:pPr>
      <w:r>
        <w:continuationSeparator/>
      </w:r>
    </w:p>
  </w:endnote>
  <w:endnote w:type="continuationNotice" w:id="1">
    <w:p w14:paraId="41126665" w14:textId="77777777" w:rsidR="00A823B4" w:rsidRDefault="00A823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77AD" w14:textId="77777777" w:rsidR="006D4871" w:rsidRDefault="006D48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5EE7" w14:textId="77777777" w:rsidR="006D4871" w:rsidRDefault="006D48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409F" w14:textId="77777777" w:rsidR="006D4871" w:rsidRDefault="006D4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6951" w14:textId="77777777" w:rsidR="00A823B4" w:rsidRDefault="00A823B4" w:rsidP="00B36AD8">
      <w:pPr>
        <w:spacing w:after="0" w:line="240" w:lineRule="auto"/>
      </w:pPr>
      <w:r>
        <w:separator/>
      </w:r>
    </w:p>
  </w:footnote>
  <w:footnote w:type="continuationSeparator" w:id="0">
    <w:p w14:paraId="6F50C93B" w14:textId="77777777" w:rsidR="00A823B4" w:rsidRDefault="00A823B4" w:rsidP="00B36AD8">
      <w:pPr>
        <w:spacing w:after="0" w:line="240" w:lineRule="auto"/>
      </w:pPr>
      <w:r>
        <w:continuationSeparator/>
      </w:r>
    </w:p>
  </w:footnote>
  <w:footnote w:type="continuationNotice" w:id="1">
    <w:p w14:paraId="32556504" w14:textId="77777777" w:rsidR="00A823B4" w:rsidRDefault="00A823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FD4A" w14:textId="77777777" w:rsidR="006D4871" w:rsidRDefault="006D4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2D15" w14:textId="77777777" w:rsidR="00B36AD8" w:rsidRDefault="001348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FB2DBF" wp14:editId="074FB3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98c470c974431cbe5e383f1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081539" w14:textId="7FAE05DB" w:rsidR="001348C3" w:rsidRPr="006D4871" w:rsidRDefault="006D4871" w:rsidP="006D487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  <w:r w:rsidRPr="006D4871"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B2DBF" id="_x0000_t202" coordsize="21600,21600" o:spt="202" path="m,l,21600r21600,l21600,xe">
              <v:stroke joinstyle="miter"/>
              <v:path gradientshapeok="t" o:connecttype="rect"/>
            </v:shapetype>
            <v:shape id="MSIPCM498c470c974431cbe5e383f1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cFHAMAADc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H0e9wUcAwAANw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2D081539" w14:textId="7FAE05DB" w:rsidR="001348C3" w:rsidRPr="006D4871" w:rsidRDefault="006D4871" w:rsidP="006D487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  <w:r w:rsidRPr="006D4871">
                      <w:rPr>
                        <w:rFonts w:ascii="Calibri" w:hAnsi="Calibri" w:cs="Calibri"/>
                        <w:color w:val="0000FF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4A91" w14:textId="77777777" w:rsidR="006D4871" w:rsidRDefault="006D48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146"/>
    <w:multiLevelType w:val="hybridMultilevel"/>
    <w:tmpl w:val="9EF47D1E"/>
    <w:lvl w:ilvl="0" w:tplc="0422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01467CF"/>
    <w:multiLevelType w:val="hybridMultilevel"/>
    <w:tmpl w:val="9EF47D1E"/>
    <w:lvl w:ilvl="0" w:tplc="0422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D8"/>
    <w:rsid w:val="00055882"/>
    <w:rsid w:val="0006300A"/>
    <w:rsid w:val="000A0C36"/>
    <w:rsid w:val="000D5D87"/>
    <w:rsid w:val="00100CC2"/>
    <w:rsid w:val="001069B4"/>
    <w:rsid w:val="00107C15"/>
    <w:rsid w:val="001315F3"/>
    <w:rsid w:val="001348C3"/>
    <w:rsid w:val="00135952"/>
    <w:rsid w:val="00154B52"/>
    <w:rsid w:val="00177B64"/>
    <w:rsid w:val="001818C8"/>
    <w:rsid w:val="00183645"/>
    <w:rsid w:val="001848E7"/>
    <w:rsid w:val="001D08A8"/>
    <w:rsid w:val="002371C7"/>
    <w:rsid w:val="002630A3"/>
    <w:rsid w:val="00272BFD"/>
    <w:rsid w:val="00282232"/>
    <w:rsid w:val="00297490"/>
    <w:rsid w:val="00297AB6"/>
    <w:rsid w:val="00356700"/>
    <w:rsid w:val="00362F98"/>
    <w:rsid w:val="0038022C"/>
    <w:rsid w:val="004619B7"/>
    <w:rsid w:val="0047154F"/>
    <w:rsid w:val="0050144C"/>
    <w:rsid w:val="0055084E"/>
    <w:rsid w:val="0056125D"/>
    <w:rsid w:val="00566365"/>
    <w:rsid w:val="005673C5"/>
    <w:rsid w:val="0059565D"/>
    <w:rsid w:val="005A6C3D"/>
    <w:rsid w:val="005E6B68"/>
    <w:rsid w:val="00651776"/>
    <w:rsid w:val="00652AAF"/>
    <w:rsid w:val="006B0C85"/>
    <w:rsid w:val="006D4871"/>
    <w:rsid w:val="006F46AE"/>
    <w:rsid w:val="00734AD1"/>
    <w:rsid w:val="0075099A"/>
    <w:rsid w:val="00780BCB"/>
    <w:rsid w:val="007B6694"/>
    <w:rsid w:val="007E323B"/>
    <w:rsid w:val="008332EC"/>
    <w:rsid w:val="00847F8B"/>
    <w:rsid w:val="009C7A1B"/>
    <w:rsid w:val="009D5C87"/>
    <w:rsid w:val="009E5B22"/>
    <w:rsid w:val="00A047D9"/>
    <w:rsid w:val="00A4208B"/>
    <w:rsid w:val="00A823B4"/>
    <w:rsid w:val="00A83618"/>
    <w:rsid w:val="00A84035"/>
    <w:rsid w:val="00A9148F"/>
    <w:rsid w:val="00B133B2"/>
    <w:rsid w:val="00B26D8A"/>
    <w:rsid w:val="00B27758"/>
    <w:rsid w:val="00B340D3"/>
    <w:rsid w:val="00B36AD8"/>
    <w:rsid w:val="00B47837"/>
    <w:rsid w:val="00B61692"/>
    <w:rsid w:val="00B64AB6"/>
    <w:rsid w:val="00B90A9A"/>
    <w:rsid w:val="00B92EC0"/>
    <w:rsid w:val="00BB4467"/>
    <w:rsid w:val="00C074E4"/>
    <w:rsid w:val="00C41B4E"/>
    <w:rsid w:val="00C8278A"/>
    <w:rsid w:val="00D9763F"/>
    <w:rsid w:val="00D9780B"/>
    <w:rsid w:val="00DA5CE6"/>
    <w:rsid w:val="00DC0384"/>
    <w:rsid w:val="00DF44D2"/>
    <w:rsid w:val="00E1671B"/>
    <w:rsid w:val="00E57C5D"/>
    <w:rsid w:val="00E81D31"/>
    <w:rsid w:val="00EE0009"/>
    <w:rsid w:val="00EE6035"/>
    <w:rsid w:val="00EE77C6"/>
    <w:rsid w:val="00F202E7"/>
    <w:rsid w:val="00F3493A"/>
    <w:rsid w:val="00F4669A"/>
    <w:rsid w:val="00F66509"/>
    <w:rsid w:val="00F83875"/>
    <w:rsid w:val="00F91FD8"/>
    <w:rsid w:val="00F943E3"/>
    <w:rsid w:val="00F962C1"/>
    <w:rsid w:val="00FB141D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35EFD"/>
  <w15:chartTrackingRefBased/>
  <w15:docId w15:val="{4A929037-59F5-4F2A-85F3-8FC0882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18"/>
    <w:rPr>
      <w:lang w:val="uk-UA"/>
    </w:rPr>
  </w:style>
  <w:style w:type="paragraph" w:styleId="1">
    <w:name w:val="heading 1"/>
    <w:basedOn w:val="a"/>
    <w:next w:val="a"/>
    <w:link w:val="10"/>
    <w:qFormat/>
    <w:rsid w:val="00BB4467"/>
    <w:pPr>
      <w:keepNext/>
      <w:tabs>
        <w:tab w:val="left" w:pos="-1440"/>
        <w:tab w:val="left" w:pos="-720"/>
        <w:tab w:val="left" w:pos="-567"/>
        <w:tab w:val="left" w:pos="3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after="0" w:line="240" w:lineRule="auto"/>
      <w:ind w:left="-142" w:hanging="425"/>
      <w:textAlignment w:val="baseline"/>
      <w:outlineLvl w:val="0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D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36AD8"/>
  </w:style>
  <w:style w:type="paragraph" w:styleId="a5">
    <w:name w:val="footer"/>
    <w:basedOn w:val="a"/>
    <w:link w:val="a6"/>
    <w:uiPriority w:val="99"/>
    <w:unhideWhenUsed/>
    <w:rsid w:val="00B36AD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36AD8"/>
  </w:style>
  <w:style w:type="paragraph" w:styleId="HTML">
    <w:name w:val="HTML Preformatted"/>
    <w:basedOn w:val="a"/>
    <w:link w:val="HTML0"/>
    <w:uiPriority w:val="99"/>
    <w:semiHidden/>
    <w:unhideWhenUsed/>
    <w:rsid w:val="00550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84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3802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02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22C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2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022C"/>
    <w:rPr>
      <w:b/>
      <w:bCs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38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22C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380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38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B4467"/>
    <w:rPr>
      <w:rFonts w:ascii="Times New Roman" w:eastAsia="Times New Roman" w:hAnsi="Times New Roman" w:cs="Times New Roman"/>
      <w:spacing w:val="-2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F55D-F105-42CF-BEB6-F1C282D6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 MYKHAYLYK</dc:creator>
  <cp:keywords/>
  <dc:description/>
  <cp:lastModifiedBy>Yevgeniya KOVALENKO</cp:lastModifiedBy>
  <cp:revision>3</cp:revision>
  <cp:lastPrinted>2020-03-02T12:06:00Z</cp:lastPrinted>
  <dcterms:created xsi:type="dcterms:W3CDTF">2020-04-28T06:53:00Z</dcterms:created>
  <dcterms:modified xsi:type="dcterms:W3CDTF">2020-07-10T06:23:00Z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iteId">
    <vt:lpwstr>b2e0bd95-d717-4462-b33e-dcaec4e9c4ec</vt:lpwstr>
  </property>
  <property fmtid="{D5CDD505-2E9C-101B-9397-08002B2CF9AE}" pid="4" name="MSIP_Label_a9be80aa-1d81-4f9b-a725-00b7929cdbde_Owner">
    <vt:lpwstr>lyudmyla.mykhaylyk@savencia.com</vt:lpwstr>
  </property>
  <property fmtid="{D5CDD505-2E9C-101B-9397-08002B2CF9AE}" pid="5" name="MSIP_Label_a9be80aa-1d81-4f9b-a725-00b7929cdbde_SetDate">
    <vt:lpwstr>2019-03-21T12:49:12.2667212Z</vt:lpwstr>
  </property>
  <property fmtid="{D5CDD505-2E9C-101B-9397-08002B2CF9AE}" pid="6" name="MSIP_Label_a9be80aa-1d81-4f9b-a725-00b7929cdbde_Name">
    <vt:lpwstr>C2-Restricted</vt:lpwstr>
  </property>
  <property fmtid="{D5CDD505-2E9C-101B-9397-08002B2CF9AE}" pid="7" name="MSIP_Label_a9be80aa-1d81-4f9b-a725-00b7929cdbde_Application">
    <vt:lpwstr>Microsoft Azure Information Protection</vt:lpwstr>
  </property>
  <property fmtid="{D5CDD505-2E9C-101B-9397-08002B2CF9AE}" pid="8" name="MSIP_Label_a9be80aa-1d81-4f9b-a725-00b7929cdbde_Extended_MSFT_Method">
    <vt:lpwstr>Automatic</vt:lpwstr>
  </property>
  <property fmtid="{D5CDD505-2E9C-101B-9397-08002B2CF9AE}" pid="9" name="Sensitivity">
    <vt:lpwstr>C2-Restricted</vt:lpwstr>
  </property>
</Properties>
</file>